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vertAnchor="page" w:horzAnchor="page" w:tblpX="8687" w:tblpY="511"/>
        <w:tblW w:w="1581" w:type="dxa"/>
        <w:tblLayout w:type="fixed"/>
        <w:tblCellMar>
          <w:left w:w="0" w:type="dxa"/>
          <w:right w:w="0" w:type="dxa"/>
        </w:tblCellMar>
        <w:tblLook w:val="04A0"/>
      </w:tblPr>
      <w:tblGrid>
        <w:gridCol w:w="1581"/>
      </w:tblGrid>
      <w:tr w:rsidR="003F2067">
        <w:trPr>
          <w:cantSplit/>
          <w:trHeight w:val="567"/>
        </w:trPr>
        <w:tc>
          <w:tcPr>
            <w:tcW w:w="1581" w:type="dxa"/>
          </w:tcPr>
          <w:p w:rsidR="003F2067" w:rsidRDefault="003F2067">
            <w:pPr>
              <w:spacing w:after="0" w:line="240" w:lineRule="auto"/>
              <w:rPr>
                <w:rFonts w:ascii="EanGnivc" w:hAnsi="EanGnivc"/>
                <w:sz w:val="52"/>
                <w:szCs w:val="52"/>
                <w:lang w:val="en-US"/>
              </w:rPr>
            </w:pPr>
          </w:p>
        </w:tc>
      </w:tr>
    </w:tbl>
    <w:p w:rsidR="003F2067" w:rsidRDefault="003F2067">
      <w:pPr>
        <w:pStyle w:val="ConsNonformat0"/>
        <w:widowControl/>
        <w:spacing w:line="240" w:lineRule="exact"/>
        <w:rPr>
          <w:rFonts w:ascii="Times New Roman" w:hAnsi="Times New Roman" w:cs="Times New Roman"/>
          <w:sz w:val="27"/>
          <w:szCs w:val="27"/>
        </w:rPr>
      </w:pPr>
    </w:p>
    <w:p w:rsidR="003F2067" w:rsidRDefault="00A30E76">
      <w:pPr>
        <w:pStyle w:val="ab"/>
        <w:tabs>
          <w:tab w:val="left" w:pos="540"/>
        </w:tabs>
        <w:ind w:firstLine="709"/>
        <w:rPr>
          <w:sz w:val="27"/>
          <w:szCs w:val="27"/>
        </w:rPr>
      </w:pPr>
      <w:r>
        <w:rPr>
          <w:sz w:val="27"/>
          <w:szCs w:val="27"/>
        </w:rPr>
        <w:t>1. Правомерно ли отстранение несовершеннолетних лиц, не привитых против кори, от учебного процесса?</w:t>
      </w:r>
    </w:p>
    <w:p w:rsidR="003F2067" w:rsidRDefault="00A30E76">
      <w:pPr>
        <w:pStyle w:val="ab"/>
        <w:tabs>
          <w:tab w:val="left" w:pos="540"/>
        </w:tabs>
        <w:ind w:firstLine="709"/>
        <w:rPr>
          <w:sz w:val="27"/>
          <w:szCs w:val="27"/>
        </w:rPr>
      </w:pPr>
      <w:r>
        <w:rPr>
          <w:sz w:val="27"/>
          <w:szCs w:val="27"/>
        </w:rPr>
        <w:t>В целях соблюдения основного принципа государственной политики и правового регулирования отношений в сфере образования, указанного Федеральным законом от 29.12.2012 № 273-ФЗ «Об образовании в Российской Федерации» о приоритете жизни и здоровья человека, несовершеннолетние, привитые против кори однократно, то есть не прошедшие полный курс иммунизации, при выявлении очага коревой инфекции в образовательной организации не отстраняются из учебного коллектива. Дети, имевшие контакт с больным корью, при подозрении на заболевание, и не болевшие корью ранее, не привитые, не имеющие сведений о прививках против кори, а также лица старше 6 лет, привитые однократно, подлежат иммунизации против кори по эпидемическим показаниям. При отказе законных представителей несовершеннолетних от иммунизации данная категория детей отстраняется из организованного коллектива.</w:t>
      </w:r>
    </w:p>
    <w:p w:rsidR="003F2067" w:rsidRDefault="00A30E76">
      <w:pPr>
        <w:pStyle w:val="ab"/>
        <w:tabs>
          <w:tab w:val="left" w:pos="540"/>
        </w:tabs>
        <w:ind w:firstLine="709"/>
        <w:rPr>
          <w:sz w:val="27"/>
          <w:szCs w:val="27"/>
        </w:rPr>
      </w:pPr>
      <w:r>
        <w:rPr>
          <w:sz w:val="27"/>
          <w:szCs w:val="27"/>
        </w:rPr>
        <w:t>Если ребенок впервые привит после выявления очага инфекции, то он может быть допущен в коллектив через 21 день после проведенной иммунизации. Если однократно вакцинированный несовершеннолетний привит после выявления очага инфекции, то он допускается в коллектив сразу после проведенной ревакцинации.</w:t>
      </w:r>
    </w:p>
    <w:p w:rsidR="003F2067" w:rsidRDefault="00A30E76">
      <w:pPr>
        <w:pStyle w:val="ab"/>
        <w:tabs>
          <w:tab w:val="left" w:pos="540"/>
        </w:tabs>
        <w:ind w:firstLine="709"/>
        <w:rPr>
          <w:sz w:val="27"/>
          <w:szCs w:val="27"/>
        </w:rPr>
      </w:pPr>
      <w:r>
        <w:rPr>
          <w:sz w:val="27"/>
          <w:szCs w:val="27"/>
        </w:rPr>
        <w:t>2. Какие новые методы мошенничества в социальных сетях?</w:t>
      </w:r>
    </w:p>
    <w:p w:rsidR="003F2067" w:rsidRDefault="00A30E76">
      <w:pPr>
        <w:pStyle w:val="ab"/>
        <w:tabs>
          <w:tab w:val="left" w:pos="540"/>
        </w:tabs>
        <w:ind w:firstLine="709"/>
        <w:rPr>
          <w:sz w:val="27"/>
          <w:szCs w:val="27"/>
        </w:rPr>
      </w:pPr>
      <w:r>
        <w:rPr>
          <w:sz w:val="27"/>
          <w:szCs w:val="27"/>
        </w:rPr>
        <w:t>Мошенники для достижения своих корыстных целей используют различные методы психологического воздействия на граждан. Сейчас активно используется метод установления визуального контакта с потенциальной жертвой посредством видео-звонка в мобильных мессенджерах (Ватсап, Телеграмм).</w:t>
      </w:r>
    </w:p>
    <w:p w:rsidR="003F2067" w:rsidRDefault="00A30E76">
      <w:pPr>
        <w:pStyle w:val="ab"/>
        <w:tabs>
          <w:tab w:val="left" w:pos="540"/>
        </w:tabs>
        <w:ind w:firstLine="709"/>
        <w:rPr>
          <w:sz w:val="27"/>
          <w:szCs w:val="27"/>
        </w:rPr>
      </w:pPr>
      <w:r>
        <w:rPr>
          <w:sz w:val="27"/>
          <w:szCs w:val="27"/>
        </w:rPr>
        <w:t>Алгоритм их действий весьма прост: чтобы отвести подозрение и получить доверие со стороны потерпевших, мошенники звонят на мобильные мессенджеры и представляются сотрудниками правоохранительных органов. При этом, звонок сопровождается видео-вызовом и демонстрацией служебного удостоверения.</w:t>
      </w:r>
    </w:p>
    <w:p w:rsidR="003F2067" w:rsidRDefault="00A30E76">
      <w:pPr>
        <w:pStyle w:val="ab"/>
        <w:tabs>
          <w:tab w:val="left" w:pos="540"/>
        </w:tabs>
        <w:ind w:firstLine="709"/>
        <w:rPr>
          <w:sz w:val="27"/>
          <w:szCs w:val="27"/>
        </w:rPr>
      </w:pPr>
      <w:r>
        <w:rPr>
          <w:sz w:val="27"/>
          <w:szCs w:val="27"/>
        </w:rPr>
        <w:t>В этом кроется опасность, поскольку потерпевший начинает думать: не скрывает себя, значит обмана нет!</w:t>
      </w:r>
    </w:p>
    <w:p w:rsidR="003F2067" w:rsidRDefault="00A30E76">
      <w:pPr>
        <w:pStyle w:val="ab"/>
        <w:tabs>
          <w:tab w:val="left" w:pos="540"/>
        </w:tabs>
        <w:ind w:firstLine="709"/>
        <w:rPr>
          <w:sz w:val="27"/>
          <w:szCs w:val="27"/>
        </w:rPr>
      </w:pPr>
      <w:r>
        <w:rPr>
          <w:sz w:val="27"/>
          <w:szCs w:val="27"/>
        </w:rPr>
        <w:t>Мошенники в ходе телефонного разговора применяют методы психологического насилия, запугивания, предоставления заведомо ложной информации о возбужденных уголовных делах по ст. 158 (кража), ст. 159 (мошенничество) УК РФ. Просят предоставить личные персональные сведения о банковских счетах, банковской карте и перевести денежные средства на подконтрольные мошенникам счета.</w:t>
      </w:r>
    </w:p>
    <w:p w:rsidR="003F2067" w:rsidRDefault="00A30E76">
      <w:pPr>
        <w:pStyle w:val="ab"/>
        <w:tabs>
          <w:tab w:val="left" w:pos="540"/>
        </w:tabs>
        <w:ind w:firstLine="709"/>
        <w:rPr>
          <w:sz w:val="27"/>
          <w:szCs w:val="27"/>
        </w:rPr>
      </w:pPr>
      <w:r>
        <w:rPr>
          <w:sz w:val="27"/>
          <w:szCs w:val="27"/>
        </w:rPr>
        <w:t>Важно помнить, что сотрудники правоохранительных органов не осуществляют звонки гражданам, в том числе видео-звонки на мобильные мессенджеры (Ватсап, Телеграмм).</w:t>
      </w:r>
    </w:p>
    <w:p w:rsidR="003F2067" w:rsidRDefault="00A30E76">
      <w:pPr>
        <w:pStyle w:val="ab"/>
        <w:tabs>
          <w:tab w:val="left" w:pos="540"/>
        </w:tabs>
        <w:ind w:firstLine="709"/>
        <w:rPr>
          <w:sz w:val="27"/>
          <w:szCs w:val="27"/>
        </w:rPr>
      </w:pPr>
      <w:r>
        <w:rPr>
          <w:sz w:val="27"/>
          <w:szCs w:val="27"/>
        </w:rPr>
        <w:t>При поступлении подобного звонка необходимо прервать разговор и обратиться в полицию по номеру 112.</w:t>
      </w:r>
    </w:p>
    <w:p w:rsidR="003F2067" w:rsidRDefault="00A30E76">
      <w:pPr>
        <w:pStyle w:val="ab"/>
        <w:tabs>
          <w:tab w:val="left" w:pos="540"/>
        </w:tabs>
        <w:ind w:firstLine="709"/>
        <w:rPr>
          <w:sz w:val="27"/>
          <w:szCs w:val="27"/>
        </w:rPr>
      </w:pPr>
      <w:r>
        <w:rPr>
          <w:sz w:val="27"/>
          <w:szCs w:val="27"/>
        </w:rPr>
        <w:t>3. Какая административная ответственность за незаконный оборот наркотических средств, психотропных веществ или их аналогов?</w:t>
      </w:r>
    </w:p>
    <w:p w:rsidR="003F2067" w:rsidRDefault="00A30E76">
      <w:pPr>
        <w:pStyle w:val="ab"/>
        <w:tabs>
          <w:tab w:val="left" w:pos="540"/>
        </w:tabs>
        <w:ind w:firstLine="709"/>
        <w:rPr>
          <w:sz w:val="27"/>
          <w:szCs w:val="27"/>
        </w:rPr>
      </w:pPr>
      <w:r>
        <w:rPr>
          <w:sz w:val="27"/>
          <w:szCs w:val="27"/>
        </w:rPr>
        <w:t xml:space="preserve">Статьей 6.8 КоАП РФ за незаконный оборот наркотических средств, психотропных веществ или их аналогов и незаконные приобретение, хранение, </w:t>
      </w:r>
      <w:r>
        <w:rPr>
          <w:sz w:val="27"/>
          <w:szCs w:val="27"/>
        </w:rPr>
        <w:lastRenderedPageBreak/>
        <w:t>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3F2067" w:rsidRDefault="00A30E76">
      <w:pPr>
        <w:pStyle w:val="ab"/>
        <w:tabs>
          <w:tab w:val="left" w:pos="540"/>
        </w:tabs>
        <w:ind w:firstLine="709"/>
        <w:rPr>
          <w:sz w:val="27"/>
          <w:szCs w:val="27"/>
        </w:rPr>
      </w:pPr>
      <w:r>
        <w:rPr>
          <w:sz w:val="27"/>
          <w:szCs w:val="27"/>
        </w:rPr>
        <w:t>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выдворению за пределы Российской Федерации.</w:t>
      </w:r>
    </w:p>
    <w:p w:rsidR="003F2067" w:rsidRDefault="00A30E76">
      <w:pPr>
        <w:pStyle w:val="ab"/>
        <w:tabs>
          <w:tab w:val="left" w:pos="540"/>
        </w:tabs>
        <w:ind w:firstLine="709"/>
        <w:rPr>
          <w:sz w:val="27"/>
          <w:szCs w:val="27"/>
        </w:rPr>
      </w:pPr>
      <w:r>
        <w:rPr>
          <w:sz w:val="27"/>
          <w:szCs w:val="27"/>
        </w:rP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rsidR="003F2067" w:rsidRDefault="00A30E76">
      <w:pPr>
        <w:pStyle w:val="ab"/>
        <w:tabs>
          <w:tab w:val="left" w:pos="540"/>
        </w:tabs>
        <w:ind w:firstLine="709"/>
        <w:rPr>
          <w:sz w:val="27"/>
          <w:szCs w:val="27"/>
        </w:rPr>
      </w:pPr>
      <w:r>
        <w:rPr>
          <w:sz w:val="27"/>
          <w:szCs w:val="27"/>
        </w:rPr>
        <w:t>4. В каких случаях можно получать пенсию в беззаявительном порядке?</w:t>
      </w:r>
    </w:p>
    <w:p w:rsidR="003F2067" w:rsidRDefault="00A30E76">
      <w:pPr>
        <w:pStyle w:val="ab"/>
        <w:tabs>
          <w:tab w:val="left" w:pos="540"/>
        </w:tabs>
        <w:ind w:firstLine="709"/>
        <w:rPr>
          <w:sz w:val="27"/>
          <w:szCs w:val="27"/>
        </w:rPr>
      </w:pPr>
      <w:r>
        <w:rPr>
          <w:sz w:val="27"/>
          <w:szCs w:val="27"/>
        </w:rPr>
        <w:t>С 01.01.2024 вступил в силу приказ Министерства труда и социальной защиты Российской Федерации от 31.05.2023 № 488н, которым предусмотрено, что страховая и социальная пенсии по случаю потери кормильца, а также социальная пенсия детям, оба родителя которых неизвестны, будут назначаться в беззаявительном порядке.</w:t>
      </w:r>
    </w:p>
    <w:p w:rsidR="003F2067" w:rsidRDefault="00A30E76">
      <w:pPr>
        <w:pStyle w:val="ab"/>
        <w:tabs>
          <w:tab w:val="left" w:pos="540"/>
        </w:tabs>
        <w:ind w:firstLine="709"/>
        <w:rPr>
          <w:sz w:val="27"/>
          <w:szCs w:val="27"/>
        </w:rPr>
      </w:pPr>
      <w:r>
        <w:rPr>
          <w:sz w:val="27"/>
          <w:szCs w:val="27"/>
        </w:rPr>
        <w:t>Так, назначение страховой и социальной пенсии по инвалидности лицу, в отношении которого содержатся сведения о признании инвалидом в федеральном реестре инвалидов, производится территориальным органом Фонда пенсионного и социального страхования Российской Федерации по месту жительства лица, признанного инвалидом, без истребования от него заявления о назначении указанных видов пенсий.</w:t>
      </w:r>
    </w:p>
    <w:p w:rsidR="003F2067" w:rsidRDefault="00A30E76">
      <w:pPr>
        <w:pStyle w:val="ab"/>
        <w:tabs>
          <w:tab w:val="left" w:pos="540"/>
        </w:tabs>
        <w:ind w:firstLine="709"/>
        <w:rPr>
          <w:sz w:val="27"/>
          <w:szCs w:val="27"/>
        </w:rPr>
      </w:pPr>
      <w:r>
        <w:rPr>
          <w:sz w:val="27"/>
          <w:szCs w:val="27"/>
        </w:rPr>
        <w:t>Перечисленные виды пенсий назначает территориальный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 признанное инвалидом, о назначении страховой пенсии по инвалидности или социальной пенсии по инвалидности в течение трех рабочих дней со дня вынесения решения о назначении.</w:t>
      </w:r>
    </w:p>
    <w:p w:rsidR="003F2067" w:rsidRDefault="00A30E76">
      <w:pPr>
        <w:pStyle w:val="ab"/>
        <w:tabs>
          <w:tab w:val="left" w:pos="540"/>
        </w:tabs>
        <w:ind w:firstLine="709"/>
        <w:rPr>
          <w:sz w:val="27"/>
          <w:szCs w:val="27"/>
        </w:rPr>
      </w:pPr>
      <w:r>
        <w:rPr>
          <w:sz w:val="27"/>
          <w:szCs w:val="27"/>
        </w:rPr>
        <w:t>Аналогичные правила устанавливаются при назначении страховой пенсии или социальной пенсии по случаю потери кормильца. Страховые и социальные пенсии по случаю потери кормильца его детям, не достигшим возраста 18 лет,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w:t>
      </w:r>
    </w:p>
    <w:p w:rsidR="003F2067" w:rsidRDefault="00A30E76">
      <w:pPr>
        <w:pStyle w:val="ab"/>
        <w:tabs>
          <w:tab w:val="left" w:pos="540"/>
        </w:tabs>
        <w:ind w:firstLine="709"/>
        <w:rPr>
          <w:sz w:val="27"/>
          <w:szCs w:val="27"/>
        </w:rPr>
      </w:pPr>
      <w:r>
        <w:rPr>
          <w:sz w:val="27"/>
          <w:szCs w:val="27"/>
        </w:rPr>
        <w:t>Вводится также беззаявительный перерасчет фиксированной выплаты к страховой пенсии по старости и по инвалидности.</w:t>
      </w:r>
    </w:p>
    <w:p w:rsidR="003F2067" w:rsidRDefault="00A30E76">
      <w:pPr>
        <w:pStyle w:val="ab"/>
        <w:tabs>
          <w:tab w:val="left" w:pos="540"/>
        </w:tabs>
        <w:ind w:firstLine="709"/>
        <w:rPr>
          <w:sz w:val="27"/>
          <w:szCs w:val="27"/>
        </w:rPr>
      </w:pPr>
      <w:r>
        <w:rPr>
          <w:sz w:val="27"/>
          <w:szCs w:val="27"/>
        </w:rPr>
        <w:t>5. Какие новые основания проведения документарных проверок в 2024 году?</w:t>
      </w:r>
    </w:p>
    <w:p w:rsidR="003F2067" w:rsidRDefault="00A30E76">
      <w:pPr>
        <w:pStyle w:val="ab"/>
        <w:tabs>
          <w:tab w:val="left" w:pos="540"/>
        </w:tabs>
        <w:ind w:firstLine="709"/>
        <w:rPr>
          <w:sz w:val="27"/>
          <w:szCs w:val="27"/>
        </w:rPr>
      </w:pPr>
      <w:r>
        <w:rPr>
          <w:sz w:val="27"/>
          <w:szCs w:val="27"/>
        </w:rPr>
        <w:t>Постановлением Правительства Российской Федерации от 23.05.2024 № 637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части согласования с органами прокуратуры проведения документарных проверок.</w:t>
      </w:r>
    </w:p>
    <w:p w:rsidR="003F2067" w:rsidRDefault="00A30E76">
      <w:pPr>
        <w:pStyle w:val="ab"/>
        <w:tabs>
          <w:tab w:val="left" w:pos="540"/>
        </w:tabs>
        <w:ind w:firstLine="709"/>
        <w:rPr>
          <w:sz w:val="27"/>
          <w:szCs w:val="27"/>
        </w:rPr>
      </w:pPr>
      <w:r>
        <w:rPr>
          <w:sz w:val="27"/>
          <w:szCs w:val="27"/>
        </w:rPr>
        <w:lastRenderedPageBreak/>
        <w:t>Так, с 24.05.2024 без согласования с прокуратурой могут проводиться внеплановые документарные проверки, если в контрольный (надзорный) орган поступили материалы об изъятии:</w:t>
      </w:r>
    </w:p>
    <w:p w:rsidR="003F2067" w:rsidRDefault="00A30E76">
      <w:pPr>
        <w:pStyle w:val="ab"/>
        <w:tabs>
          <w:tab w:val="left" w:pos="540"/>
        </w:tabs>
        <w:ind w:firstLine="709"/>
        <w:rPr>
          <w:sz w:val="27"/>
          <w:szCs w:val="27"/>
        </w:rPr>
      </w:pPr>
      <w:r>
        <w:rPr>
          <w:sz w:val="27"/>
          <w:szCs w:val="27"/>
        </w:rPr>
        <w:t xml:space="preserve">- любых товаров или продукции (оборудования либо средств для их производства), которые не являются вещественными доказательствами по уголовному делу. Речь идет об изъятии, произведенном при проверке сообщения о преступлении либо при оперативно-розыскных мероприятиях. </w:t>
      </w:r>
    </w:p>
    <w:p w:rsidR="003F2067" w:rsidRDefault="00A30E76">
      <w:pPr>
        <w:pStyle w:val="ab"/>
        <w:tabs>
          <w:tab w:val="left" w:pos="540"/>
        </w:tabs>
        <w:ind w:firstLine="709"/>
        <w:rPr>
          <w:sz w:val="27"/>
          <w:szCs w:val="27"/>
        </w:rPr>
      </w:pPr>
      <w:r>
        <w:rPr>
          <w:sz w:val="27"/>
          <w:szCs w:val="27"/>
        </w:rPr>
        <w:t>- вещей (из числа орудий или предметов административного нарушения), при обороте которых не соблюдались обязательные требования. Материалы должны поступить от органов либо должностных лиц, которые рассматривают дела об административных правонарушениях.</w:t>
      </w:r>
    </w:p>
    <w:p w:rsidR="003F2067" w:rsidRDefault="003F2067">
      <w:pPr>
        <w:pStyle w:val="ab"/>
        <w:tabs>
          <w:tab w:val="left" w:pos="540"/>
        </w:tabs>
        <w:ind w:firstLine="709"/>
        <w:rPr>
          <w:sz w:val="27"/>
          <w:szCs w:val="27"/>
        </w:rPr>
      </w:pPr>
      <w:bookmarkStart w:id="0" w:name="_GoBack"/>
      <w:bookmarkEnd w:id="0"/>
    </w:p>
    <w:sectPr w:rsidR="003F2067" w:rsidSect="0098606E">
      <w:headerReference w:type="default" r:id="rId9"/>
      <w:headerReference w:type="first" r:id="rId10"/>
      <w:footerReference w:type="first" r:id="rId11"/>
      <w:pgSz w:w="11906" w:h="16838"/>
      <w:pgMar w:top="766" w:right="567" w:bottom="1134" w:left="170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B7" w:rsidRDefault="00E132B7">
      <w:pPr>
        <w:spacing w:after="0" w:line="240" w:lineRule="auto"/>
      </w:pPr>
      <w:r>
        <w:separator/>
      </w:r>
    </w:p>
  </w:endnote>
  <w:endnote w:type="continuationSeparator" w:id="1">
    <w:p w:rsidR="00E132B7" w:rsidRDefault="00E13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EanGnivc">
    <w:altName w:val="Times New Roman"/>
    <w:charset w:val="CC"/>
    <w:family w:val="roman"/>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67" w:rsidRDefault="003F2067">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B7" w:rsidRDefault="00E132B7">
      <w:pPr>
        <w:spacing w:after="0" w:line="240" w:lineRule="auto"/>
      </w:pPr>
      <w:r>
        <w:separator/>
      </w:r>
    </w:p>
  </w:footnote>
  <w:footnote w:type="continuationSeparator" w:id="1">
    <w:p w:rsidR="00E132B7" w:rsidRDefault="00E13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400184"/>
      <w:docPartObj>
        <w:docPartGallery w:val="Page Numbers (Top of Page)"/>
        <w:docPartUnique/>
      </w:docPartObj>
    </w:sdtPr>
    <w:sdtContent>
      <w:p w:rsidR="003F2067" w:rsidRDefault="0098606E">
        <w:pPr>
          <w:pStyle w:val="a4"/>
          <w:jc w:val="center"/>
        </w:pPr>
        <w:r>
          <w:fldChar w:fldCharType="begin"/>
        </w:r>
        <w:r w:rsidR="00A30E76">
          <w:instrText xml:space="preserve"> PAGE </w:instrText>
        </w:r>
        <w:r>
          <w:fldChar w:fldCharType="separate"/>
        </w:r>
        <w:r w:rsidR="00FF672B">
          <w:rPr>
            <w:noProof/>
          </w:rPr>
          <w:t>2</w:t>
        </w:r>
        <w:r>
          <w:fldChar w:fldCharType="end"/>
        </w:r>
      </w:p>
    </w:sdtContent>
  </w:sdt>
  <w:p w:rsidR="003F2067" w:rsidRDefault="003F2067">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67" w:rsidRDefault="003F2067">
    <w:pPr>
      <w:pStyle w:val="a4"/>
      <w:jc w:val="center"/>
    </w:pPr>
  </w:p>
  <w:p w:rsidR="003F2067" w:rsidRDefault="003F20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footnotePr>
    <w:footnote w:id="0"/>
    <w:footnote w:id="1"/>
  </w:footnotePr>
  <w:endnotePr>
    <w:endnote w:id="0"/>
    <w:endnote w:id="1"/>
  </w:endnotePr>
  <w:compat/>
  <w:rsids>
    <w:rsidRoot w:val="003F2067"/>
    <w:rsid w:val="001146E9"/>
    <w:rsid w:val="003F2067"/>
    <w:rsid w:val="0098606E"/>
    <w:rsid w:val="00A30E76"/>
    <w:rsid w:val="00D80ED1"/>
    <w:rsid w:val="00E132B7"/>
    <w:rsid w:val="00FF6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212FD"/>
  </w:style>
  <w:style w:type="character" w:customStyle="1" w:styleId="a5">
    <w:name w:val="Нижний колонтитул Знак"/>
    <w:basedOn w:val="a0"/>
    <w:link w:val="a6"/>
    <w:uiPriority w:val="99"/>
    <w:qFormat/>
    <w:rsid w:val="007212FD"/>
  </w:style>
  <w:style w:type="character" w:customStyle="1" w:styleId="a7">
    <w:name w:val="Текст выноски Знак"/>
    <w:basedOn w:val="a0"/>
    <w:link w:val="a8"/>
    <w:uiPriority w:val="99"/>
    <w:semiHidden/>
    <w:qFormat/>
    <w:rsid w:val="003C2B52"/>
    <w:rPr>
      <w:rFonts w:ascii="Segoe UI" w:hAnsi="Segoe UI" w:cs="Segoe UI"/>
      <w:sz w:val="18"/>
      <w:szCs w:val="18"/>
    </w:rPr>
  </w:style>
  <w:style w:type="character" w:customStyle="1" w:styleId="ConsNonformat">
    <w:name w:val="ConsNonformat Знак"/>
    <w:link w:val="ConsNonformat0"/>
    <w:qFormat/>
    <w:locked/>
    <w:rsid w:val="00345F5E"/>
    <w:rPr>
      <w:rFonts w:ascii="Courier New" w:eastAsia="Times New Roman" w:hAnsi="Courier New" w:cs="Courier New"/>
      <w:sz w:val="20"/>
      <w:szCs w:val="20"/>
      <w:lang w:eastAsia="ru-RU"/>
    </w:rPr>
  </w:style>
  <w:style w:type="character" w:styleId="a9">
    <w:name w:val="Hyperlink"/>
    <w:basedOn w:val="a0"/>
    <w:semiHidden/>
    <w:unhideWhenUsed/>
    <w:rsid w:val="006403C9"/>
    <w:rPr>
      <w:color w:val="0563C1" w:themeColor="hyperlink"/>
      <w:u w:val="single"/>
    </w:rPr>
  </w:style>
  <w:style w:type="character" w:customStyle="1" w:styleId="aa">
    <w:name w:val="Основной текст Знак"/>
    <w:basedOn w:val="a0"/>
    <w:link w:val="ab"/>
    <w:uiPriority w:val="99"/>
    <w:qFormat/>
    <w:rsid w:val="006403C9"/>
    <w:rPr>
      <w:rFonts w:ascii="Times New Roman" w:eastAsia="Times New Roman" w:hAnsi="Times New Roman" w:cs="Times New Roman"/>
      <w:sz w:val="24"/>
      <w:szCs w:val="24"/>
      <w:lang w:eastAsia="ru-RU"/>
    </w:rPr>
  </w:style>
  <w:style w:type="paragraph" w:customStyle="1" w:styleId="ac">
    <w:name w:val="Заголовок"/>
    <w:basedOn w:val="a"/>
    <w:next w:val="ab"/>
    <w:qFormat/>
    <w:rsid w:val="0098606E"/>
    <w:pPr>
      <w:keepNext/>
      <w:spacing w:before="240" w:after="120"/>
    </w:pPr>
    <w:rPr>
      <w:rFonts w:ascii="Liberation Sans" w:eastAsia="Microsoft YaHei" w:hAnsi="Liberation Sans" w:cs="Arial"/>
      <w:sz w:val="28"/>
      <w:szCs w:val="28"/>
    </w:rPr>
  </w:style>
  <w:style w:type="paragraph" w:styleId="ab">
    <w:name w:val="Body Text"/>
    <w:basedOn w:val="a"/>
    <w:link w:val="aa"/>
    <w:uiPriority w:val="99"/>
    <w:unhideWhenUsed/>
    <w:rsid w:val="006403C9"/>
    <w:pPr>
      <w:spacing w:after="0" w:line="240" w:lineRule="auto"/>
      <w:jc w:val="both"/>
    </w:pPr>
    <w:rPr>
      <w:rFonts w:ascii="Times New Roman" w:eastAsia="Times New Roman" w:hAnsi="Times New Roman" w:cs="Times New Roman"/>
      <w:sz w:val="24"/>
      <w:szCs w:val="24"/>
      <w:lang w:eastAsia="ru-RU"/>
    </w:rPr>
  </w:style>
  <w:style w:type="paragraph" w:styleId="ad">
    <w:name w:val="List"/>
    <w:basedOn w:val="ab"/>
    <w:rsid w:val="0098606E"/>
    <w:rPr>
      <w:rFonts w:cs="Arial"/>
    </w:rPr>
  </w:style>
  <w:style w:type="paragraph" w:styleId="ae">
    <w:name w:val="caption"/>
    <w:basedOn w:val="a"/>
    <w:qFormat/>
    <w:rsid w:val="0098606E"/>
    <w:pPr>
      <w:suppressLineNumbers/>
      <w:spacing w:before="120" w:after="120"/>
    </w:pPr>
    <w:rPr>
      <w:rFonts w:cs="Arial"/>
      <w:i/>
      <w:iCs/>
      <w:sz w:val="24"/>
      <w:szCs w:val="24"/>
    </w:rPr>
  </w:style>
  <w:style w:type="paragraph" w:styleId="af">
    <w:name w:val="index heading"/>
    <w:basedOn w:val="a"/>
    <w:qFormat/>
    <w:rsid w:val="0098606E"/>
    <w:pPr>
      <w:suppressLineNumbers/>
    </w:pPr>
    <w:rPr>
      <w:rFonts w:cs="Arial"/>
    </w:rPr>
  </w:style>
  <w:style w:type="paragraph" w:customStyle="1" w:styleId="af0">
    <w:name w:val="Колонтитул"/>
    <w:basedOn w:val="a"/>
    <w:qFormat/>
    <w:rsid w:val="0098606E"/>
  </w:style>
  <w:style w:type="paragraph" w:styleId="a4">
    <w:name w:val="header"/>
    <w:basedOn w:val="a"/>
    <w:link w:val="a3"/>
    <w:uiPriority w:val="99"/>
    <w:unhideWhenUsed/>
    <w:rsid w:val="007212FD"/>
    <w:pPr>
      <w:tabs>
        <w:tab w:val="center" w:pos="4677"/>
        <w:tab w:val="right" w:pos="9355"/>
      </w:tabs>
      <w:spacing w:after="0" w:line="240" w:lineRule="auto"/>
    </w:pPr>
  </w:style>
  <w:style w:type="paragraph" w:styleId="a6">
    <w:name w:val="footer"/>
    <w:basedOn w:val="a"/>
    <w:link w:val="a5"/>
    <w:uiPriority w:val="99"/>
    <w:unhideWhenUsed/>
    <w:rsid w:val="007212FD"/>
    <w:pPr>
      <w:tabs>
        <w:tab w:val="center" w:pos="4677"/>
        <w:tab w:val="right" w:pos="9355"/>
      </w:tabs>
      <w:spacing w:after="0" w:line="240" w:lineRule="auto"/>
    </w:pPr>
  </w:style>
  <w:style w:type="paragraph" w:styleId="a8">
    <w:name w:val="Balloon Text"/>
    <w:basedOn w:val="a"/>
    <w:link w:val="a7"/>
    <w:uiPriority w:val="99"/>
    <w:semiHidden/>
    <w:unhideWhenUsed/>
    <w:qFormat/>
    <w:rsid w:val="003C2B52"/>
    <w:pPr>
      <w:spacing w:after="0" w:line="240" w:lineRule="auto"/>
    </w:pPr>
    <w:rPr>
      <w:rFonts w:ascii="Segoe UI" w:hAnsi="Segoe UI" w:cs="Segoe UI"/>
      <w:sz w:val="18"/>
      <w:szCs w:val="18"/>
    </w:rPr>
  </w:style>
  <w:style w:type="paragraph" w:customStyle="1" w:styleId="1">
    <w:name w:val="Знак1 Знак Знак Знак"/>
    <w:basedOn w:val="a"/>
    <w:autoRedefine/>
    <w:qFormat/>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0">
    <w:name w:val="ConsNonformat"/>
    <w:link w:val="ConsNonformat"/>
    <w:qFormat/>
    <w:rsid w:val="00345F5E"/>
    <w:pPr>
      <w:widowControl w:val="0"/>
    </w:pPr>
    <w:rPr>
      <w:rFonts w:ascii="Courier New" w:eastAsia="Times New Roman" w:hAnsi="Courier New" w:cs="Courier New"/>
      <w:sz w:val="20"/>
      <w:szCs w:val="20"/>
      <w:lang w:eastAsia="ru-RU"/>
    </w:rPr>
  </w:style>
  <w:style w:type="paragraph" w:customStyle="1" w:styleId="af1">
    <w:name w:val="Содержимое врезки"/>
    <w:basedOn w:val="a"/>
    <w:qFormat/>
    <w:rsid w:val="0098606E"/>
  </w:style>
  <w:style w:type="table" w:styleId="af2">
    <w:name w:val="Table Grid"/>
    <w:basedOn w:val="a1"/>
    <w:uiPriority w:val="39"/>
    <w:rsid w:val="00080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212FD"/>
  </w:style>
  <w:style w:type="character" w:customStyle="1" w:styleId="a5">
    <w:name w:val="Нижний колонтитул Знак"/>
    <w:basedOn w:val="a0"/>
    <w:link w:val="a6"/>
    <w:uiPriority w:val="99"/>
    <w:qFormat/>
    <w:rsid w:val="007212FD"/>
  </w:style>
  <w:style w:type="character" w:customStyle="1" w:styleId="a7">
    <w:name w:val="Текст выноски Знак"/>
    <w:basedOn w:val="a0"/>
    <w:link w:val="a8"/>
    <w:uiPriority w:val="99"/>
    <w:semiHidden/>
    <w:qFormat/>
    <w:rsid w:val="003C2B52"/>
    <w:rPr>
      <w:rFonts w:ascii="Segoe UI" w:hAnsi="Segoe UI" w:cs="Segoe UI"/>
      <w:sz w:val="18"/>
      <w:szCs w:val="18"/>
    </w:rPr>
  </w:style>
  <w:style w:type="character" w:customStyle="1" w:styleId="ConsNonformat">
    <w:name w:val="ConsNonformat Знак"/>
    <w:link w:val="ConsNonformat0"/>
    <w:qFormat/>
    <w:locked/>
    <w:rsid w:val="00345F5E"/>
    <w:rPr>
      <w:rFonts w:ascii="Courier New" w:eastAsia="Times New Roman" w:hAnsi="Courier New" w:cs="Courier New"/>
      <w:sz w:val="20"/>
      <w:szCs w:val="20"/>
      <w:lang w:eastAsia="ru-RU"/>
    </w:rPr>
  </w:style>
  <w:style w:type="character" w:styleId="a9">
    <w:name w:val="Hyperlink"/>
    <w:basedOn w:val="a0"/>
    <w:semiHidden/>
    <w:unhideWhenUsed/>
    <w:rsid w:val="006403C9"/>
    <w:rPr>
      <w:color w:val="0563C1" w:themeColor="hyperlink"/>
      <w:u w:val="single"/>
    </w:rPr>
  </w:style>
  <w:style w:type="character" w:customStyle="1" w:styleId="aa">
    <w:name w:val="Основной текст Знак"/>
    <w:basedOn w:val="a0"/>
    <w:link w:val="ab"/>
    <w:uiPriority w:val="99"/>
    <w:qFormat/>
    <w:rsid w:val="006403C9"/>
    <w:rPr>
      <w:rFonts w:ascii="Times New Roman" w:eastAsia="Times New Roman" w:hAnsi="Times New Roman" w:cs="Times New Roman"/>
      <w:sz w:val="24"/>
      <w:szCs w:val="24"/>
      <w:lang w:eastAsia="ru-RU"/>
    </w:rPr>
  </w:style>
  <w:style w:type="paragraph" w:customStyle="1" w:styleId="ac">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link w:val="aa"/>
    <w:uiPriority w:val="99"/>
    <w:unhideWhenUsed/>
    <w:rsid w:val="006403C9"/>
    <w:pPr>
      <w:spacing w:after="0" w:line="240" w:lineRule="auto"/>
      <w:jc w:val="both"/>
    </w:pPr>
    <w:rPr>
      <w:rFonts w:ascii="Times New Roman" w:eastAsia="Times New Roman" w:hAnsi="Times New Roman" w:cs="Times New Roman"/>
      <w:sz w:val="24"/>
      <w:szCs w:val="24"/>
      <w:lang w:eastAsia="ru-RU"/>
    </w:rPr>
  </w:style>
  <w:style w:type="paragraph" w:styleId="ad">
    <w:name w:val="List"/>
    <w:basedOn w:val="ab"/>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customStyle="1" w:styleId="af0">
    <w:name w:val="Колонтитул"/>
    <w:basedOn w:val="a"/>
    <w:qFormat/>
  </w:style>
  <w:style w:type="paragraph" w:styleId="a4">
    <w:name w:val="header"/>
    <w:basedOn w:val="a"/>
    <w:link w:val="a3"/>
    <w:uiPriority w:val="99"/>
    <w:unhideWhenUsed/>
    <w:rsid w:val="007212FD"/>
    <w:pPr>
      <w:tabs>
        <w:tab w:val="center" w:pos="4677"/>
        <w:tab w:val="right" w:pos="9355"/>
      </w:tabs>
      <w:spacing w:after="0" w:line="240" w:lineRule="auto"/>
    </w:pPr>
  </w:style>
  <w:style w:type="paragraph" w:styleId="a6">
    <w:name w:val="footer"/>
    <w:basedOn w:val="a"/>
    <w:link w:val="a5"/>
    <w:uiPriority w:val="99"/>
    <w:unhideWhenUsed/>
    <w:rsid w:val="007212FD"/>
    <w:pPr>
      <w:tabs>
        <w:tab w:val="center" w:pos="4677"/>
        <w:tab w:val="right" w:pos="9355"/>
      </w:tabs>
      <w:spacing w:after="0" w:line="240" w:lineRule="auto"/>
    </w:pPr>
  </w:style>
  <w:style w:type="paragraph" w:styleId="a8">
    <w:name w:val="Balloon Text"/>
    <w:basedOn w:val="a"/>
    <w:link w:val="a7"/>
    <w:uiPriority w:val="99"/>
    <w:semiHidden/>
    <w:unhideWhenUsed/>
    <w:qFormat/>
    <w:rsid w:val="003C2B52"/>
    <w:pPr>
      <w:spacing w:after="0" w:line="240" w:lineRule="auto"/>
    </w:pPr>
    <w:rPr>
      <w:rFonts w:ascii="Segoe UI" w:hAnsi="Segoe UI" w:cs="Segoe UI"/>
      <w:sz w:val="18"/>
      <w:szCs w:val="18"/>
    </w:rPr>
  </w:style>
  <w:style w:type="paragraph" w:customStyle="1" w:styleId="1">
    <w:name w:val="Знак1 Знак Знак Знак"/>
    <w:basedOn w:val="a"/>
    <w:autoRedefine/>
    <w:qFormat/>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0">
    <w:name w:val="ConsNonformat"/>
    <w:link w:val="ConsNonformat"/>
    <w:qFormat/>
    <w:rsid w:val="00345F5E"/>
    <w:pPr>
      <w:widowControl w:val="0"/>
    </w:pPr>
    <w:rPr>
      <w:rFonts w:ascii="Courier New" w:eastAsia="Times New Roman" w:hAnsi="Courier New" w:cs="Courier New"/>
      <w:sz w:val="20"/>
      <w:szCs w:val="20"/>
      <w:lang w:eastAsia="ru-RU"/>
    </w:rPr>
  </w:style>
  <w:style w:type="paragraph" w:customStyle="1" w:styleId="af1">
    <w:name w:val="Содержимое врезки"/>
    <w:basedOn w:val="a"/>
    <w:qFormat/>
  </w:style>
  <w:style w:type="table" w:styleId="af2">
    <w:name w:val="Table Grid"/>
    <w:basedOn w:val="a1"/>
    <w:uiPriority w:val="39"/>
    <w:rsid w:val="0008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1B898-DDE3-41FC-8FAA-1E3F758E8A7A}">
  <ds:schemaRefs>
    <ds:schemaRef ds:uri="http://schemas.openxmlformats.org/officeDocument/2006/bibliography"/>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 Сергей Сергеевич</dc:creator>
  <cp:lastModifiedBy>Пользователь</cp:lastModifiedBy>
  <cp:revision>2</cp:revision>
  <cp:lastPrinted>2024-08-08T06:26:00Z</cp:lastPrinted>
  <dcterms:created xsi:type="dcterms:W3CDTF">2024-08-12T05:37:00Z</dcterms:created>
  <dcterms:modified xsi:type="dcterms:W3CDTF">2024-08-12T05:37:00Z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